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LSchuWG (Nordrhein-Westfalen) — Inkrafttreten, Außerkrafttreten</w:t>
      </w:r>
    </w:p>
    <w:p>
      <w:r>
        <w:rPr>
          <w:color w:val="555555"/>
          <w:sz w:val="18"/>
        </w:rPr>
        <w:t xml:space="preserve">Landesschuldenwesengesetz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2009 in Kraft.</w:t>
      </w:r>
    </w:p>
    <w:p>
      <w:r>
        <w:t xml:space="preserve">(2) Die zu diesem Zeitpunkt bestehenden Eintragungen im Landesschuldbuch behalten ihre Gültigkeit.</w:t>
      </w:r>
    </w:p>
    <w:p>
      <w:r>
        <w:t xml:space="preserve">(3) Mit dem gleichen Zeitpunkt treten das Gesetz über die Errichtung eines Landesschuldbuches für Nordrhein-Westfalen vom 5. November 1948 (GV. NRW. S. 301) und die dazu ergangene Durchführungsverordnung vom 19. März 1949 (GV. NRW. S. 81)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Verkehr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rPr>
          <w:color w:val="555555"/>
          <w:sz w:val="17"/>
        </w:rPr>
        <w:t xml:space="preserve">Zitiervorschlag: § 7 LSchuWG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https://recht.nulegal.eu/gesetze/LSchuWG/7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