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LSchuWG (Nordrhein-Westfalen) — Kapitalbuch</w:t>
      </w:r>
    </w:p>
    <w:p>
      <w:r>
        <w:rPr>
          <w:color w:val="555555"/>
          <w:sz w:val="18"/>
        </w:rPr>
        <w:t xml:space="preserve">Landesschuldenwesengesetz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Sämtliche Schuldverpflichtungen des Landes (Kreditaufnahmen nach § 1 Abs. 1), derivative Finanzinstrumente nach § 1 Abs. 2 sowie Bürgschaften, Garantien und sonstige Gewährleistungen werden zum Zweck der Dokumentation in einem Kapitalbuch registriert.</w:t>
      </w:r>
    </w:p>
    <w:p>
      <w:r>
        <w:t xml:space="preserve">(2) Das Kapitalbuch wird vom Finanzministerium geführt. Die elektronische Form ist zulässig.</w:t>
      </w:r>
    </w:p>
    <w:p>
      <w:r>
        <w:rPr>
          <w:color w:val="555555"/>
          <w:sz w:val="17"/>
        </w:rPr>
        <w:t xml:space="preserve">Zitiervorschlag: § 6 LSchuWG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https://recht.nulegal.eu/gesetze/LSchuWG/6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