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LSchuWG (Nordrhein-Westfalen) — Landesschuldbuch</w:t>
      </w:r>
    </w:p>
    <w:p>
      <w:r>
        <w:rPr>
          <w:color w:val="555555"/>
          <w:sz w:val="18"/>
        </w:rPr>
        <w:t xml:space="preserve">Landesschuldenwesengesetz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das Land wird ein Landesschuldbuch geführt, das der Begründung, Dokumentation und Verwaltung von Schuldbuchforderungen dient.</w:t>
      </w:r>
    </w:p>
    <w:p>
      <w:r>
        <w:t xml:space="preserve">(2) Eine Schuldbuchforderung wird als Sammelschuldbuchforderung oder Einzelschuldbuchforderung durch die Eintragung in das Landesschuldbuch begründet; durch die Eintragung in das Landesschuldbuch gilt eine gesetzlich vorgeschriebene Form als beachtet.</w:t>
      </w:r>
    </w:p>
    <w:p>
      <w:r>
        <w:t xml:space="preserve">(3) Das Landesschuldbuch wird vom Finanzministerium geführt. Die elektronische Form ist zulässig.</w:t>
      </w:r>
    </w:p>
    <w:p>
      <w:r>
        <w:rPr>
          <w:color w:val="555555"/>
          <w:sz w:val="17"/>
        </w:rPr>
        <w:t xml:space="preserve">Zitiervorschlag: § 2 LSchuWG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https://recht.nulegal.eu/gesetze/LSchuWG/2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