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LSchiffV (Brandenburg) — Fahrzeuge des Öffentlichen Dienstes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der oberen Verkehrsbehörde, der Polizei, der Streitkräfte, der Bundespolizei, des Zolldienstes, der Feuerwehr, des Zivil- und Katastrophenschutzes, der Unterhaltungspflichtigen nach § 2 Abs. 7 sowie von den nach § 2 Zuständigen beauftragte Fahrzeuge sind von der Beachtung der Verkehrsvorschriften dieser Verordnung befreit, soweit dies zur Erfüllung hoheitlicher Aufgaben unter Berücksichtigung der öffentlichen Sicherheit und Ordnung dringend geboten ist.</w:t>
      </w:r>
    </w:p>
    <w:p>
      <w:r>
        <w:t xml:space="preserve">(2) Absatz 1 gilt auch für Wasserrettungsfahrzeuge einer als gemeinnützig anerkannten Körperschaft im Rettungseinsatz.</w:t>
      </w:r>
    </w:p>
    <w:p>
      <w:r>
        <w:rPr>
          <w:color w:val="555555"/>
          <w:sz w:val="17"/>
        </w:rPr>
        <w:t xml:space="preserve">Zitiervorschlag: § 87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https://recht.nulegal.eu/gesetze/LSchiffV/87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