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84 LSchiffV (Brandenburg) — Nachtfahrten</w:t>
      </w:r>
    </w:p>
    <w:p>
      <w:r>
        <w:rPr>
          <w:color w:val="555555"/>
          <w:sz w:val="18"/>
        </w:rPr>
        <w:t xml:space="preserve">Landesschifffahrtsverordnung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Abweichend von § 3 Nr. 31 gilt im Bereich des Biosphärenreservates Spreewald als Zeitraum der Nacht eine Stunde nach Sonnenuntergang bis eine Stunde vor Sonnenaufgang.</w:t>
      </w:r>
    </w:p>
    <w:p>
      <w:r>
        <w:t xml:space="preserve">(2) Nachtfahrten mit Antriebsmaschine sind auch mit vorhandener Ausnahmegenehmigung nach § 80 Abs. 2 nicht gestattet.</w:t>
      </w:r>
    </w:p>
    <w:p>
      <w:r>
        <w:t xml:space="preserve">(3) Nachtfahrten der Anwohner für nichtgewerbliche Zwecke sind nicht genehmigungspflichtig.</w:t>
      </w:r>
    </w:p>
    <w:p>
      <w:r>
        <w:t xml:space="preserve">(4) Nachtfahrten mit Personenkähnen können in begrenztem Umfang und örtlich auf bestimmte Streckenabschnitte beschränkt, jedoch ohne Maschinenantrieb, von der zuständigen Naturschutzbehörde genehmigt werden.</w:t>
      </w:r>
    </w:p>
    <w:p>
      <w:r>
        <w:t xml:space="preserve">(5) Bei genehmigten Nachtfahrten nach Absatz 4 ist die zulässige Personenzahl auf 75 Prozent der zulässigen Personenzahl zu begrenzen.</w:t>
      </w:r>
    </w:p>
    <w:p>
      <w:r>
        <w:rPr>
          <w:color w:val="555555"/>
          <w:sz w:val="17"/>
        </w:rPr>
        <w:t xml:space="preserve">Zitiervorschlag: § 84 LSchiffV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https://recht.nulegal.eu/gesetze/LSchiffV/84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