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LSchiffV (Brandenburg) — Sonderausrüstung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Personenkähne haben über § 35 hinaus folgende Ausrüstung mitzuführen:</w:t>
      </w:r>
    </w:p>
    <w:p>
      <w:r>
        <w:t xml:space="preserve">zwei Festmacherleinen oder -ketten,</w:t>
      </w:r>
    </w:p>
    <w:p>
      <w:r>
        <w:t xml:space="preserve">zwei Rudel,</w:t>
      </w:r>
    </w:p>
    <w:p>
      <w:r>
        <w:t xml:space="preserve">eine Kahnschippe oder andere Lenzmöglichkeit,</w:t>
      </w:r>
    </w:p>
    <w:p>
      <w:r>
        <w:t xml:space="preserve">ein Rettungsmittel.</w:t>
      </w:r>
    </w:p>
    <w:p>
      <w:r>
        <w:rPr>
          <w:color w:val="555555"/>
          <w:sz w:val="17"/>
        </w:rPr>
        <w:t xml:space="preserve">Zitiervorschlag: § 83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https://recht.nulegal.eu/gesetze/LSchiffV/83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