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LSchiffV (Brandenburg) — Benutzung von sonstigen Sportgeräten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Schleppen von bemannten Flugkörpern wie Flugdrachen, Drachenfallschirmen und ähnlichen Geräten sowie Kite-Surfing sind auf schiffbaren Landesgewässern verboten.</w:t>
      </w:r>
    </w:p>
    <w:p>
      <w:r>
        <w:t xml:space="preserve">(2) Das Benutzen von Amphibienfahrzeugen, Unterwasserfahrzeugen, Wassermotorrädern, Hoverkrafts, Bodeneffektfahrzeugen und ähnlichen Kleinfahrzeugen, unabhängig von ihrer Antriebsart, ist auf schiffbaren Landesgewässern grundsätzlich verboten.</w:t>
      </w:r>
    </w:p>
    <w:p>
      <w:r>
        <w:rPr>
          <w:color w:val="555555"/>
          <w:sz w:val="17"/>
        </w:rPr>
        <w:t xml:space="preserve">Zitiervorschlag: § 69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https://recht.nulegal.eu/gesetze/LSchiffV/69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