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LSchiffV (Brandenburg) — Schallzeichen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Schallzeichen sind erforderlichenfalls von jedem Fahrzeug, mit Ausnahme von nicht gewerblich genutzten Kleinfahrzeugen, entsprechend den Regelungen der Binnenschifffahrtsstraßen-Ordnung zu geben. Kleinfahrzeuge können erforderlichenfalls die allgemeinen Zeichen nach der Binnenschifffahrtsstraßen-Ordnung geben. Auf Fahrzeugen mit Maschinenantrieb müssen zeitgleich mit den Schallzeichen gleichlange Lichtzeichen gegeben werden, die gelb, hell und von allen Seiten sichtbar sein müssen.</w:t>
      </w:r>
    </w:p>
    <w:p>
      <w:r>
        <w:t xml:space="preserve">(2) Es ist verboten, andere als die in der Binnenschifffahrtsstraßen-Ordnung vorgesehenen Schallzeichen zu gebrauchen oder diese unter Umständen zu gebrauchen, für die sie nicht vorgeschrieben oder zugelassen sind.</w:t>
      </w:r>
    </w:p>
    <w:p>
      <w:r>
        <w:rPr>
          <w:color w:val="555555"/>
          <w:sz w:val="17"/>
        </w:rPr>
        <w:t xml:space="preserve">Zitiervorschlag: § 64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