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LSchiffV (Brandenburg) — Transport gefährlicher Güter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Bei Transporten von gefährlichen Gütern im Sinne des Gefahrgutrechts auf schiffbaren Landesgewässern ist die Gefahrgutverordnung Binnenschifffahrt anzuwenden.</w:t>
      </w:r>
    </w:p>
    <w:p>
      <w:r>
        <w:t xml:space="preserve">(2) Gefahrguttransporte auf schiffbaren Landesgewässern benötigen eine Genehmigung der oberen Verkehrsbehörde.</w:t>
      </w:r>
    </w:p>
    <w:p>
      <w:r>
        <w:rPr>
          <w:color w:val="555555"/>
          <w:sz w:val="17"/>
        </w:rPr>
        <w:t xml:space="preserve">Zitiervorschlag: § 60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https://recht.nulegal.eu/gesetze/LSchiffV/60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