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LSchiffV (Brandenburg) — Bezeichnung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Fahrzeuge, schwimmende Anlagen, Schwimmkörper, Fanggeräte der Fischerei und Fahrzeuge oder Stellen mit Tauchern unter Wasser müssen die in der Binnenschifffahrtsstraßen-Ordnung vorgeschriebenen Lichter, Flaggen, Tafeln, Zylinder, Bälle und Kegel nach den dort festgelegten Regeln führen.</w:t>
      </w:r>
    </w:p>
    <w:p>
      <w:r>
        <w:t xml:space="preserve">(2) Wenn es die Sichtverhältnisse erfordern, müssen die für die Nacht vorgeschriebenen Lichter gemäß der Binnenschifffahrtsstraßen-Ordnung zusätzlich bei Tag gesetzt werden.</w:t>
      </w:r>
    </w:p>
    <w:p>
      <w:r>
        <w:rPr>
          <w:color w:val="555555"/>
          <w:sz w:val="17"/>
        </w:rPr>
        <w:t xml:space="preserve">Zitiervorschlag: § 59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