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LSchiffV (Brandenburg) — Stillliegen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den schiffbaren Landesgewässern gelten die Regeln über das Stillliegen der Binnenschifffahrtsstraßen-Ordnung, soweit in dieser Verordnung nichts Abweichendes geregelt ist.</w:t>
      </w:r>
    </w:p>
    <w:p>
      <w:r>
        <w:t xml:space="preserve">(2) Auf Seen und seeartigen Erweiterungen findet § 7.01 Nr. 1 Satz 1 der Binnenschifffahrtsstraßen-Ordnung unter der Voraussetzung, dass die durchgehende Schifffahrt nicht behindert wird, keine Anwendung.</w:t>
      </w:r>
    </w:p>
    <w:p>
      <w:r>
        <w:rPr>
          <w:color w:val="555555"/>
          <w:sz w:val="17"/>
        </w:rPr>
        <w:t xml:space="preserve">Zitiervorschlag: § 46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