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LSchiffV (Brandenburg) — Fahrgeschwindigkeit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Schiffsführer hat die Fahrgeschwindigkeit so einzurichten, dass er jederzeit in der Lage ist, seinen Verpflichtungen im Verkehr nachzukommen.</w:t>
      </w:r>
    </w:p>
    <w:p>
      <w:r>
        <w:t xml:space="preserve">(2) Die zulässige Höchstgeschwindigkeit gegenüber dem Ufer beträgt</w:t>
      </w:r>
    </w:p>
    <w:p>
      <w:r>
        <w:t xml:space="preserve">für Fahrzeuge und Verbände 12 Kilometer pro Stunde, für Kleinfahrzeuge 15 Kilometer pro Stunde,</w:t>
      </w:r>
    </w:p>
    <w:p>
      <w:r>
        <w:t xml:space="preserve">in den Uferrandzonen, und damit in einer Entfernung von bis zu 5 Metern vom Ufer, 7 Kilometer pro Stunde,</w:t>
      </w:r>
    </w:p>
    <w:p>
      <w:r>
        <w:t xml:space="preserve">soweit das Gewässer – mit Ausnahme auf dem Senftenberger See, dem Mellensee, dem Großräschener See und dem Sedlitzer See – eine Mindestbreite von über 250 Metern hat, ab einer Entfernung von 100 Metern zum Ufer für Fahrzeuge und Verbände 15 Kilometer pro Stunde, für Kleinfahrzeuge 25 Kilometer pro Stunde,</w:t>
      </w:r>
    </w:p>
    <w:p>
      <w:r>
        <w:t xml:space="preserve">für den Geierswalder und den Partwitzer See ab einer Entfernung von 100 Metern zum Ufer für Kleinfahrzeuge 30 Kilometer pro Stunde.</w:t>
      </w:r>
    </w:p>
    <w:p>
      <w:r>
        <w:t xml:space="preserve">Dies gilt nicht für Wasserski- und Motorrennsport ausübende Motorboote auf ausgeschilderten Wasserski- und Motorbootrennstrecken. Die obere Schifffahrtsbehörde kann auf bestimmten Gewässern oder Teilabschnitten andere Höchstgeschwindigkeiten festsetzen.</w:t>
      </w:r>
    </w:p>
    <w:p>
      <w:r>
        <w:rPr>
          <w:color w:val="555555"/>
          <w:sz w:val="17"/>
        </w:rPr>
        <w:t xml:space="preserve">Zitiervorschlag: § 45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https://recht.nulegal.eu/gesetze/LSchiffV/45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