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LSchiffV (Brandenburg) — Fahrregeln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den schiffbaren Landesgewässern gelten die Fahrregeln der Binnenschifffahrtsstraßen-Ordnung, soweit in dieser Verordnung nichts Abweichendes geregelt ist.</w:t>
      </w:r>
    </w:p>
    <w:p>
      <w:r>
        <w:t xml:space="preserve">(2) Folgende Richtungen gelten, in Ergänzung zu § 3 Nr. 28, auf Kanälen als Bergfahrt:</w:t>
      </w:r>
    </w:p>
    <w:p>
      <w:r>
        <w:t xml:space="preserve">1.</w:t>
      </w:r>
    </w:p>
    <w:p>
      <w:r>
        <w:t xml:space="preserve">Dahme-Umflut-Kanal</w:t>
      </w:r>
    </w:p>
    <w:p>
      <w:r>
        <w:t xml:space="preserve">Richtung Leibsch,</w:t>
      </w:r>
    </w:p>
    <w:p>
      <w:r>
        <w:t xml:space="preserve">2.</w:t>
      </w:r>
    </w:p>
    <w:p>
      <w:r>
        <w:t xml:space="preserve">Emsterkanal</w:t>
      </w:r>
    </w:p>
    <w:p>
      <w:r>
        <w:t xml:space="preserve">Richtung Lehnin,</w:t>
      </w:r>
    </w:p>
    <w:p>
      <w:r>
        <w:t xml:space="preserve">3.</w:t>
      </w:r>
    </w:p>
    <w:p>
      <w:r>
        <w:t xml:space="preserve">Amtmannkanal</w:t>
      </w:r>
    </w:p>
    <w:p>
      <w:r>
        <w:t xml:space="preserve">Richtung Linum,</w:t>
      </w:r>
    </w:p>
    <w:p>
      <w:r>
        <w:t xml:space="preserve">4.</w:t>
      </w:r>
    </w:p>
    <w:p>
      <w:r>
        <w:t xml:space="preserve">Gallun-Kanal</w:t>
      </w:r>
    </w:p>
    <w:p>
      <w:r>
        <w:t xml:space="preserve">Richtung Motzener See,</w:t>
      </w:r>
    </w:p>
    <w:p>
      <w:r>
        <w:t xml:space="preserve">5.</w:t>
      </w:r>
    </w:p>
    <w:p>
      <w:r>
        <w:t xml:space="preserve">Notte Kanal</w:t>
      </w:r>
    </w:p>
    <w:p>
      <w:r>
        <w:t xml:space="preserve">Richtung Mellensee,</w:t>
      </w:r>
    </w:p>
    <w:p>
      <w:r>
        <w:t xml:space="preserve">6.</w:t>
      </w:r>
    </w:p>
    <w:p>
      <w:r>
        <w:t xml:space="preserve">Ruppiner-Kanal</w:t>
      </w:r>
    </w:p>
    <w:p>
      <w:r>
        <w:t xml:space="preserve">Richtung Kremmer See,</w:t>
      </w:r>
    </w:p>
    <w:p>
      <w:r>
        <w:t xml:space="preserve">7.</w:t>
      </w:r>
    </w:p>
    <w:p>
      <w:r>
        <w:t xml:space="preserve">Überleiter 12</w:t>
      </w:r>
    </w:p>
    <w:p>
      <w:r>
        <w:t xml:space="preserve">Richtung Geierswalder See,</w:t>
      </w:r>
    </w:p>
    <w:p>
      <w:r>
        <w:t xml:space="preserve">8.</w:t>
      </w:r>
    </w:p>
    <w:p>
      <w:r>
        <w:t xml:space="preserve">Finowkanal, Abschnitt Langer Trödel</w:t>
      </w:r>
    </w:p>
    <w:p>
      <w:r>
        <w:t xml:space="preserve">Richtung Liebenwalde.</w:t>
      </w:r>
    </w:p>
    <w:p>
      <w:r>
        <w:rPr>
          <w:color w:val="555555"/>
          <w:sz w:val="17"/>
        </w:rPr>
        <w:t xml:space="preserve">Zitiervorschlag: § 44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