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LSchiffV (Brandenburg) — Widerruf und Beschränkung der Zulassung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Werden bei einem Fahrzeug oder einer schwimmenden Anlage Mängel festgestellt, so kann die nach § 2 Abs. 1 und 2 zuständige Behörde die Weiterverwendung des Fahrzeugs beschränken, verbieten oder das Zulassungszeugnis zurückbehalten bis die Beseitigung der Mängel nachgewiesen ist.</w:t>
      </w:r>
    </w:p>
    <w:p>
      <w:r>
        <w:t xml:space="preserve">(2) Die nach § 2 Abs. 1 und 2 zuständige Behörde kann die Zulassung entziehen, wenn der Eigentümer oder sonstige Verfügungsberechtigte trotz Mahnung einer Aufforderung zur Beseitigung von Mängeln, zur Untersuchung oder zur Vorlage des Zulassungszeugnisses nicht nachgekommen ist.</w:t>
      </w:r>
    </w:p>
    <w:p>
      <w:r>
        <w:t xml:space="preserve">(3) Die Maßnahmen nach den Absätzen 1 und 2 sind im Einverständnis mit der Brandenburgischen Schiffsuntersuchungskommission zu treffen.</w:t>
      </w:r>
    </w:p>
    <w:p>
      <w:r>
        <w:rPr>
          <w:color w:val="555555"/>
          <w:sz w:val="17"/>
        </w:rPr>
        <w:t xml:space="preserve">Zitiervorschlag: § 42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