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LSchiffV (Brandenburg) — Höchstzulässige Abgasemissionen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Festlegungen der Richtlinie 2004/26/EG des Europäischen Parlaments und des Rates vom 21. April 2004 zur Änderung der Richtlinie 97/68/EG zur Angleichung der Rechtsvorschriften der Mitgliedstaaten über Maßnahmen zur Bekämpfung der Emission von gasförmigen Schadstoffen und luftverunreinigenden Partikeln aus Verbrennungsmotoren für mobile Maschinen und Geräte (ABl. EG Nr. L 225 S. 3) sind einzuhalten.</w:t>
      </w:r>
    </w:p>
    <w:p>
      <w:r>
        <w:t xml:space="preserve">(2) Für Sportboote im Anwendungsbereich der Verordnung über das Inverkehrbringen von Sportbooten sind die dort getroffenen Festlegungen einzuhalten.</w:t>
      </w:r>
    </w:p>
    <w:p>
      <w:r>
        <w:rPr>
          <w:color w:val="555555"/>
          <w:sz w:val="17"/>
        </w:rPr>
        <w:t xml:space="preserve">Zitiervorschlag: § 26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