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LSchiffV (Brandenburg) — Beantragung und Erteilung der Fahrerlaubnis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Antrag auf Erwerb einer Fahrerlaubnis ist bei der nach § 2 Abs. 1 und 2 zuständigen Behörde zu stellen.</w:t>
      </w:r>
    </w:p>
    <w:p>
      <w:r>
        <w:t xml:space="preserve">(2) Dem Antrag sind folgende Unterlagen beizufügen:</w:t>
      </w:r>
    </w:p>
    <w:p>
      <w:r>
        <w:t xml:space="preserve">ein amtlicher Nachweis über Ort und Tag der Geburt,</w:t>
      </w:r>
    </w:p>
    <w:p>
      <w:r>
        <w:t xml:space="preserve">ein Lichtbild aus neuerer Zeit ohne Kopfbedeckung im Halbprofil,</w:t>
      </w:r>
    </w:p>
    <w:p>
      <w:r>
        <w:t xml:space="preserve">ein Eignungsnachweis, nicht älter als drei Monate, über die körperliche und geistige Tauglichkeit zum Führen eines Fahrzeugs, insbesondere über ein ausreichendes Seh- und Hörvermögen, erteilt durch den Arbeitsmedizinischen Dienst,</w:t>
      </w:r>
    </w:p>
    <w:p>
      <w:r>
        <w:t xml:space="preserve">ein Führungszeugnis, nicht älter als sechs Monate, oder eine Erklärung, dass die Erteilung eines Führungszeugnisses nach den Vorschriften des Bundeszentralregistergesetzes beantragt worden ist,</w:t>
      </w:r>
    </w:p>
    <w:p>
      <w:r>
        <w:t xml:space="preserve">der Nachweis der Fahrzeit nach § 11,</w:t>
      </w:r>
    </w:p>
    <w:p>
      <w:r>
        <w:t xml:space="preserve">die beantragte Fahrerlaubniskategorie,</w:t>
      </w:r>
    </w:p>
    <w:p>
      <w:r>
        <w:t xml:space="preserve">der Nachweis über eine Schulung in Erster Hilfe,</w:t>
      </w:r>
    </w:p>
    <w:p>
      <w:r>
        <w:t xml:space="preserve">der Nachweis der bestandenen Prüfung.</w:t>
      </w:r>
    </w:p>
    <w:p>
      <w:r>
        <w:t xml:space="preserve">(3) Der Führerschein wird von der nach § 2 Abs. 1 und 2 zuständigen Behörde ausgestellt.</w:t>
      </w:r>
    </w:p>
    <w:p>
      <w:r>
        <w:t xml:space="preserve">(4) Der Inhaber einer Fahrerlaubnis der Kategorien A, B, C, E und F, der diese gewerblich nutzen will, hat:</w:t>
      </w:r>
    </w:p>
    <w:p>
      <w:r>
        <w:t xml:space="preserve">mit Vollendung des 50. Lebensjahres und bis zum 65. Lebensjahr alle fünf Jahre,</w:t>
      </w:r>
    </w:p>
    <w:p>
      <w:r>
        <w:t xml:space="preserve">mit Vollendung des 65. Lebensjahres zweijährlich.</w:t>
      </w:r>
    </w:p>
    <w:p>
      <w:r>
        <w:t xml:space="preserve">den Eignungsnachweis nach Absatz 2 Nr. 3 zu erneuern. Die Eintragung der Erneuerung dieses Eignungsnachweises auf dem Schiffsführerschein hat der Inhaber der Fahrerlaubnis bei der nach § 2 Abs. 1 und 2 zuständigen Behörde zu veranlassen.</w:t>
      </w:r>
    </w:p>
    <w:p>
      <w:r>
        <w:t xml:space="preserve">(5) Die Fahrerlaubnis kann unter Bedingungen und Auflagen erteilt werden. Sie kann insbesondere innerhalb einer Kategorie auf bestimmte Fahrzeugarten und Gewässerabschnitte beschränkt werden.</w:t>
      </w:r>
    </w:p>
    <w:p>
      <w:r>
        <w:t xml:space="preserve">(6) Ist ein Führerschein unbrauchbar geworden, verloren gegangen oder sonst abhanden gekommen, so gibt die nach Absatz 3 ausstellende Behörde auf Antrag eine zweite Ausfertigung aus, die als solche zu bezeichnen ist. Der Verlust ist glaubhaft zu machen.</w:t>
      </w:r>
    </w:p>
    <w:p>
      <w:r>
        <w:rPr>
          <w:color w:val="555555"/>
          <w:sz w:val="17"/>
        </w:rPr>
        <w:t xml:space="preserve">Zitiervorschlag: § 14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