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LSchiffV (Brandenburg) — Fahrzeiterfordernis für den Erwerb der Fahrerlaubnis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Bewerber um die Fahrerlaubnis der Kategorien B und C muss Fahrzeiten von mindestens zwei Jahren, der Kategorie A von mindestens drei Monaten und der Kategorie E und F von mindestens 100 Stunden als Mitglied einer Decksmannschaft auf den Gewässern nachweisen, auf denen er künftig ein Fahrzeug gewerblich nutzen will.</w:t>
      </w:r>
    </w:p>
    <w:p>
      <w:r>
        <w:t xml:space="preserve">(2) Die Fahrzeiten müssen auf einem Fahrzeug der Kategorie absolviert sein, zu dessen Führung die Fahrerlaubnis berechtigen soll.</w:t>
      </w:r>
    </w:p>
    <w:p>
      <w:r>
        <w:t xml:space="preserve">(3) Der Bewerber muss die Fahrzeiten durch einen Nachweis erbringen, der von einem Schiffsführer mit der entsprechenden Fahrerlaubnis unterschrieben ist.</w:t>
      </w:r>
    </w:p>
    <w:p>
      <w:r>
        <w:t xml:space="preserve">(4) In begründeten Fällen kann der Prüfungsausschuss im Einzelfall Abweichungen von den Absätzen 1 bis 3 zulassen.</w:t>
      </w:r>
    </w:p>
    <w:p>
      <w:r>
        <w:rPr>
          <w:color w:val="555555"/>
          <w:sz w:val="17"/>
        </w:rPr>
        <w:t xml:space="preserve">Zitiervorschlag: § 11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