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LSchiffV (Brandenburg) — Geltungsbereich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die Schifffahrt auf allen schiffbaren Landesgewässern nach Anlage 1 dieser Verordnung.</w:t>
      </w:r>
    </w:p>
    <w:p>
      <w:r>
        <w:t xml:space="preserve">(2) Soweit in dieser Verordnung nichts Abweichendes bestimmt ist, ist die Binnenschiffsuntersuchungsordnung vom 21. September 2018 ( BGBl. I S. 1398, 2032) in der jeweils geltenden Fassung anzuwenden.</w:t>
      </w:r>
    </w:p>
    <w:p>
      <w:r>
        <w:rPr>
          <w:color w:val="555555"/>
          <w:sz w:val="17"/>
        </w:rPr>
        <w:t xml:space="preserve">Zitiervorschlag: § 1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