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LSchiedVO (Sachsen) — Beschlussfähigkeit, Beratung und Beschlussfassung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Landesschiedsstelle ist beschlussfähig, wenn außer dem Vorsitzenden mindestens</w:t>
      </w:r>
    </w:p>
    <w:p>
      <w:r>
        <w:t xml:space="preserve">ein unparteiisches Mitglied,</w:t>
      </w:r>
    </w:p>
    <w:p>
      <w:r>
        <w:t xml:space="preserve">drei Vertreter der zugelassenen Krankenhäuser,</w:t>
      </w:r>
    </w:p>
    <w:p>
      <w:r>
        <w:t xml:space="preserve">drei Vertreter der Krankenkassen und</w:t>
      </w:r>
    </w:p>
    <w:p>
      <w:r>
        <w:t xml:space="preserve">bei der erweiterten Schiedsstelle zusätzlich drei Vertreter der Vertragsärzte</w:t>
      </w:r>
    </w:p>
    <w:p>
      <w:r>
        <w:t xml:space="preserve">anwesend sind. Bei Beschlussunfähigkeit kann der Vorsitzende anordnen, dass in der nächsten Sitzung auch dann entschieden werden kann, wenn die Voraussetzungen des Satzes 1 nicht erfüllt sind; hierauf ist in der Ladung zur nächsten Sitzung hinzuweisen.</w:t>
      </w:r>
    </w:p>
    <w:p>
      <w:r>
        <w:t xml:space="preserve">(2) Beratung und Beschlussfassung erfolgen in Abwesenheit der Vertreter der Vertragsparteien.</w:t>
      </w:r>
    </w:p>
    <w:p>
      <w:r>
        <w:t xml:space="preserve">(3) Ein Mitglied der Landesschiedsstelle und der erweiterten Schiedsstelle darf weder beratend noch entscheidend mitwirken, wenn die Entscheidung ein Krankenhaus betrifft, bei dem es tätig ist.</w:t>
      </w:r>
    </w:p>
    <w:p>
      <w:r>
        <w:t xml:space="preserve">(4) Die Entscheidungen werden mit der Mehrheit der Mitglieder getroffen. Ergibt sich keine Mehrheit, gibt die Stimme des Vorsitzenden den Ausschlag.</w:t>
      </w:r>
    </w:p>
    <w:p>
      <w:r>
        <w:rPr>
          <w:color w:val="555555"/>
          <w:sz w:val="17"/>
        </w:rPr>
        <w:t xml:space="preserve">Zitiervorschlag: § 9 LSchiedVO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https://recht.nulegal.eu/gesetze/LSchiedVO/9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