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LSchiedVO (Sachsen) — Amtsdauer</w:t>
      </w:r>
    </w:p>
    <w:p>
      <w:r>
        <w:rPr>
          <w:color w:val="555555"/>
          <w:sz w:val="18"/>
        </w:rPr>
        <w:t xml:space="preserve">Landesschiedsstellenverordnung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Die Amtsperiode der Landesschiedsstelle und der erweiterten Schiedsstelle beträgt vier Jahre. Die nach dem In-Kraft-Treten dieser Verordnung beginnende Amtsperiode endet am 31. Dezember 2007.</w:t>
      </w:r>
    </w:p>
    <w:p>
      <w:r>
        <w:t xml:space="preserve">(2) Die Amtsdauer der Mitglieder der Landesschiedsstelle endet mit dem Ablauf der Amtsperiode; dies gilt entsprechend für die während einer Amtsperiode neu bestellten Mitglieder. Die Mitglieder bleiben nach Ablauf der Amtsperiode bis zur Bestellung ihrer Nachfolger im Amt. Die Wiederbestellung ist zulässig. § 114 Abs. 2 Satz 5 SGB V bleibt unberührt.</w:t>
      </w:r>
    </w:p>
    <w:p>
      <w:r>
        <w:rPr>
          <w:color w:val="555555"/>
          <w:sz w:val="17"/>
        </w:rPr>
        <w:t xml:space="preserve">Zitiervorschlag: § 4 LSchiedVO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https://recht.nulegal.eu/gesetze/LSchiedVO/4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