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LSchiedVO (Sachsen) — In-Kraft-Treten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23. Februar 2004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Die Staatsministerin für Soziales</w:t>
      </w:r>
    </w:p>
    <w:p>
      <w:r>
        <w:t xml:space="preserve">Helma Orosz</w:t>
      </w:r>
    </w:p>
    <w:p>
      <w:r>
        <w:rPr>
          <w:color w:val="555555"/>
          <w:sz w:val="17"/>
        </w:rPr>
        <w:t xml:space="preserve">Zitiervorschlag: § 14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