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LSchV (Nordrhein-Westfalen)</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November 1989</w:t>
      </w:r>
    </w:p>
    <w:p>
      <w:r>
        <w:t xml:space="preserve">Aufgrund des § 5 Abs. 3 Satz 1 des Landesorganisationsgesetzes - LOG. NW - vom 10. Juli 1962 (GV. NW. S. 421), zuletzt geändert durch Gesetz vom 20. Oktober 1987 (GV. NW. S. 366), insoweit nach Anhörung des Ausschusses für Arbeit, Gesundheit, Soziales und Angelegenheiten der Vertriebenen und Flüchtlinge des Landtags, und des § 114 Abs. 5, § 115 Abs. 3 Satz 4 des Sozialgesetzbuches - Gesetzliche Krankenversicherung - (SGB V) vom 20. Dezember 1988 (BGBl. I S. 2477), zuletzt geändert durch Gesetz vom 6. Oktober 1989 (BGBl. I S. 1822), wird verordnet:</w:t>
      </w:r>
    </w:p>
    <w:p>
      <w:r>
        <w:rPr>
          <w:color w:val="555555"/>
          <w:sz w:val="17"/>
        </w:rPr>
        <w:t xml:space="preserve">Zitiervorschlag: Volltext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