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LSchV (Nordrhein-Westfalen) — Bestellung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der Landesschiedsstelle und der erweiterten Schiedsstelle werden durch schriftliche Benennung gegenüber der Geschäftsstelle bestellt.</w:t>
      </w:r>
    </w:p>
    <w:p>
      <w:r>
        <w:t xml:space="preserve">(2) Der Vorsitzende und die weiteren unparteiischen Mitglieder der Landesschiedsstelle sowie deren Stellvertreter werden von den beteiligten Organisationen nach § 114 Abs. 2 SGB V gemeinsam bestellt; sie gelten als bestellt, sobald sie sich den beteiligten Organisationen gegenüber zur Amtsübernahme bereit erklärt haben.</w:t>
      </w:r>
    </w:p>
    <w:p>
      <w:r>
        <w:t xml:space="preserve">(3) Im Falle des § 114 Abs. 2 Satz 5 SGB V gelten die Absätze 1 und 2 mit der Maßgabe entsprechend, daß die Bereiterklärung nach Absatz 2 gegenüber der zuständigen Behörde nach § 20 erfolgt.</w:t>
      </w:r>
    </w:p>
    <w:p>
      <w:r>
        <w:rPr>
          <w:color w:val="555555"/>
          <w:sz w:val="17"/>
        </w:rPr>
        <w:t xml:space="preserve">Zitiervorschlag: § 3 LSchV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https://recht.nulegal.eu/gesetze/LSchV/3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