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LSchV (Nordrhein-Westfalen) — In-Kraft-Treten, Berichtspflicht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Tage nach der Verkündung in Kraft. Das zuständige Ministerium berichtet der Landesregierung bis zum 31. Dezember 2009 über die Auswirkungen dieser Verordnung.</w:t>
      </w:r>
    </w:p>
    <w:p>
      <w:r>
        <w:t xml:space="preserve">Die Landesregierung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21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