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LSchV (Nordrhein-Westfalen) — Zusammensetzung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Landesschiedsstelle besteht aus einem unparteiischen Vorsitzenden und zwei weiteren unparteiischen Mitgliedern sowie je acht Vertretern der Krankenkassen und der zugelassenen Krankenhäuser.</w:t>
      </w:r>
    </w:p>
    <w:p>
      <w:r>
        <w:t xml:space="preserve">(2) Der erweiterten Schiedsstelle (§ 115 Abs. 3 Satz 2 SGB V) gehören zusätzlich acht Vertreter der Kassenärzte an.</w:t>
      </w:r>
    </w:p>
    <w:p>
      <w:r>
        <w:t xml:space="preserve">(3) Der Vorsitzende und die zwei weiteren urparteiischen Mitglieder haben jeweils mindestens einen, jedes weitere Mitglied mindestens zwei Stellvertreter; dies gilt auch für die Mitglieder der erweiterten Schiedsstelle.</w:t>
      </w:r>
    </w:p>
    <w:p>
      <w:r>
        <w:t xml:space="preserve">(4) Der Vorsitzende und die zwei weiteren unparteiischen Mitglieder sowie ihre Stellvertreter dürfen weder haupt- noch nebenberuflich im Krankenkassen- oder Krankenhausbereich oder als niedergelassener Arzt tätig sein; sie dürfen darüber hinaus nicht Angehörige der Behörde nach § 20 sein. Der Vorsitzende und seine Stellvertreter müssen die Befähigung zum Richteramt oder höheren allgemeinen Verwaltungsdienst besitzen.</w:t>
      </w:r>
    </w:p>
    <w:p>
      <w:r>
        <w:rPr>
          <w:color w:val="555555"/>
          <w:sz w:val="17"/>
        </w:rPr>
        <w:t xml:space="preserve">Zitiervorschlag: § 2 LSchV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https://recht.nulegal.eu/gesetze/LSchV/2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