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LSchV (Nordrhein-Westfalen) — Entscheidungen der Landesschiedsstelle</w:t>
      </w:r>
    </w:p>
    <w:p>
      <w:r>
        <w:rPr>
          <w:color w:val="555555"/>
          <w:sz w:val="18"/>
        </w:rPr>
        <w:t xml:space="preserve">Landesschiedsstellenverordnung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Entscheidung der Landesschiedsstelle oder der erweiterten Schiedsstelle ist schriftlich zu begründen und mit Rechtsmittelbelehrung den Vertragspartnern zuzustellen.</w:t>
      </w:r>
    </w:p>
    <w:p>
      <w:r>
        <w:t xml:space="preserve">(2) Die Festsetzung hat die Rechtswirkung einer vertraglichen Vereinbarung im Sinne des § 112 SGB V oder des § 115 SGB V.</w:t>
      </w:r>
    </w:p>
    <w:p>
      <w:r>
        <w:t xml:space="preserve">(3) Über den Widerspruch gegen die Entscheidung der Landesschiedsstelle oder der erweiterten Landesschiedsstelle entscheidet die Landesschiedsstelle. Die Klage gegen den Widerspruchsbescheid ist gegen die Landesschiedsstelle zu richten.</w:t>
      </w:r>
    </w:p>
    <w:p>
      <w:r>
        <w:rPr>
          <w:color w:val="555555"/>
          <w:sz w:val="17"/>
        </w:rPr>
        <w:t xml:space="preserve">Zitiervorschlag: § 13 LSchV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https://recht.nulegal.eu/gesetze/LSchV/13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