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LSchV (Nordrhein-Westfalen) — Errichtung der Landesschiedsstelle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Land Nordrhein-Westfalen wird eine Landesschiedsstelle nach § 114 SGB V mit Sitz in Essen errichtet.</w:t>
      </w:r>
    </w:p>
    <w:p>
      <w:r>
        <w:t xml:space="preserve">(2) Die Geschäftsführung der Landesschiedsstelle wird beim Landesverband der Betriebskrankenkassen Nordrhein-Westfalen eingerichtet (Geschäftsstelle).</w:t>
      </w:r>
    </w:p>
    <w:p>
      <w:r>
        <w:rPr>
          <w:color w:val="555555"/>
          <w:sz w:val="17"/>
        </w:rPr>
        <w:t xml:space="preserve">Zitiervorschlag: § 1 LSchV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https://recht.nulegal.eu/gesetze/LSchV/1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