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LSchBzV (Brandenburg) — Inkrafttreten, Außerkrafttreten</w:t>
      </w:r>
    </w:p>
    <w:p>
      <w:r>
        <w:rPr>
          <w:color w:val="555555"/>
          <w:sz w:val="18"/>
        </w:rPr>
        <w:t xml:space="preserve">Landesschulbezirksverordnung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1. August 2026 in Kraft. Gleichzeitig tritt die Landesschulbezirksverordnung vom 2. Juni 2016 ( GVBl. II Nr. 25) außer Kraft.</w:t>
      </w:r>
    </w:p>
    <w:p>
      <w:r>
        <w:t xml:space="preserve">Potsdam, den 15. Juli 2026</w:t>
      </w:r>
    </w:p>
    <w:p>
      <w:r>
        <w:t xml:space="preserve">Der Minister für Bildung, Jugend und Sport</w:t>
      </w:r>
    </w:p>
    <w:p>
      <w:r>
        <w:t xml:space="preserve">Gordon Hoffmann</w:t>
      </w:r>
    </w:p>
    <w:p>
      <w:r>
        <w:rPr>
          <w:color w:val="555555"/>
          <w:sz w:val="17"/>
        </w:rPr>
        <w:t xml:space="preserve">Zitiervorschlag: § 2 LSchBzV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https://recht.nulegal.eu/gesetze/LSchBzV/2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