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LSchAbfG (Nordrhein-Westfalen)</w:t>
      </w:r>
    </w:p>
    <w:p>
      <w:r>
        <w:rPr>
          <w:color w:val="555555"/>
          <w:sz w:val="18"/>
        </w:rPr>
        <w:t xml:space="preserve">Landesschiffsabfallgesetz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Juni 2004</w:t>
      </w:r>
    </w:p>
    <w:p>
      <w:r>
        <w:t xml:space="preserve">Inhaltsübersicht</w:t>
      </w:r>
    </w:p>
    <w:p>
      <w:r>
        <w:t xml:space="preserve">§ 1 Zweck des Gesetzes</w:t>
      </w:r>
    </w:p>
    <w:p>
      <w:r>
        <w:t xml:space="preserve">Abschnitt 1</w:t>
      </w:r>
    </w:p>
    <w:p>
      <w:r>
        <w:t xml:space="preserve">Vorschriften zur Umsetzung der Richtlinie (EU) 2019/883 des Europäischen Parlaments und des Rates vom 17. April 2019 über Hafenauffangeinrichtungen für die Entladung von Abfällen von Schiffen, zur Änderung der Richtlinie 2010/65/EU und zur Aufhebung der Richtlinie 2000/59/EG</w:t>
      </w:r>
    </w:p>
    <w:p>
      <w:r>
        <w:t xml:space="preserve">§ 2 Anwendungsbereich</w:t>
      </w:r>
    </w:p>
    <w:p>
      <w:r>
        <w:t xml:space="preserve">§ 3 Begriffsbestimmungen</w:t>
      </w:r>
    </w:p>
    <w:p>
      <w:r>
        <w:t xml:space="preserve">§ 4 Hafenauffangeinrichtungen</w:t>
      </w:r>
    </w:p>
    <w:p>
      <w:r>
        <w:t xml:space="preserve">§ 5 Schiffsabfallbewirtschaftungspläne; Informationen</w:t>
      </w:r>
    </w:p>
    <w:p>
      <w:r>
        <w:t xml:space="preserve">§ 6 Meldung</w:t>
      </w:r>
    </w:p>
    <w:p>
      <w:r>
        <w:t xml:space="preserve">§ 7 Entladung von Schiffsabfällen</w:t>
      </w:r>
    </w:p>
    <w:p>
      <w:r>
        <w:t xml:space="preserve">§ 8 Kostendeckungssysteme</w:t>
      </w:r>
    </w:p>
    <w:p>
      <w:r>
        <w:t xml:space="preserve">§ 9 Ausnahmen</w:t>
      </w:r>
    </w:p>
    <w:p>
      <w:r>
        <w:t xml:space="preserve">§ 10 Überwachung; Anordnungsbefugnis</w:t>
      </w:r>
    </w:p>
    <w:p>
      <w:r>
        <w:t xml:space="preserve">§ 11 Zuständigkeit</w:t>
      </w:r>
    </w:p>
    <w:p>
      <w:r>
        <w:t xml:space="preserve">§ 12 Ordnungswidrigkeiten</w:t>
      </w:r>
    </w:p>
    <w:p>
      <w:r>
        <w:t xml:space="preserve">§ 13 Schulung des Personals</w:t>
      </w:r>
    </w:p>
    <w:p>
      <w:r>
        <w:t xml:space="preserve">Abschnitt 2</w:t>
      </w:r>
    </w:p>
    <w:p>
      <w:r>
        <w:t xml:space="preserve">Vorschriften zur Umsetzung des Übereinkommens vom 9. September 1996 über die</w:t>
      </w:r>
    </w:p>
    <w:p>
      <w:r>
        <w:t xml:space="preserve">Sammlung, Abgabe und Annahme von Abfällen in der Rhein- und Binnenschifffahrt</w:t>
      </w:r>
    </w:p>
    <w:p>
      <w:r>
        <w:t xml:space="preserve">§ 14 Überwachung, Anordnungsbefugnis</w:t>
      </w:r>
    </w:p>
    <w:p>
      <w:r>
        <w:t xml:space="preserve">§ 15 Zuständigkeit</w:t>
      </w:r>
    </w:p>
    <w:p>
      <w:r>
        <w:t xml:space="preserve">§ 16 Ordnungswidrigkeiten</w:t>
      </w:r>
    </w:p>
    <w:p>
      <w:r>
        <w:t xml:space="preserve">Abschnitt 3</w:t>
      </w:r>
    </w:p>
    <w:p>
      <w:r>
        <w:t xml:space="preserve">Inkrafttreten</w:t>
      </w:r>
    </w:p>
    <w:p>
      <w:r>
        <w:t xml:space="preserve">§ 17 Inkrafttreten</w:t>
      </w:r>
    </w:p>
    <w:p>
      <w:r>
        <w:rPr>
          <w:color w:val="555555"/>
          <w:sz w:val="17"/>
        </w:rPr>
        <w:t xml:space="preserve">Zitiervorschlag: Volltext LSchAbfG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https://recht.nulegal.eu/gesetze/LSchAbfG/volltext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