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LSchAbfG (Nordrhein-Westfalen) — Anwendungsbereich</w:t>
      </w:r>
    </w:p>
    <w:p>
      <w:r>
        <w:rPr>
          <w:color w:val="555555"/>
          <w:sz w:val="18"/>
        </w:rPr>
        <w:t xml:space="preserve">Landesschiffsabfallgesetz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Vorschriften dieses Abschnitts gelten für seegehende Schiffe im Sinne von § 3 Satz 1 Nummer 1, unabhängig von ihrer Flagge, ausgenommen Schiffe, die für Hafendienste im Sinne des Artikels 1 Absatz 2 der Verordnung (EU) Nr. 2017/352 des Europäischen Parlaments und des Rates vom 15. Februar 2017 zur Schaffung eines Rahmens für die Erbringung von Hafendiensten und zur Festlegung von gemeinsamen Bestimmungen für die finanzielle Transparenz der Häfen (ABl. L 57 vom 3.3.2017, S. 1), die durch die Verordnung (EU) Nr. 2020/697 (ABl. L 165 vom 27.5.2020) geändert worden ist, eingesetzt werden, und ausgenommen Kriegsschiffe, Flottenhilfsschiffe und andere Schiffe, die Eigentum eines Staates sind oder von diesem betrieben werden und vorläufig nur auf nichtgewerblicher staatlicher Grundlage eingesetzt werden. Häfen des Landes Nordrhein-Westfalen sind dazu verpflichtet, alle fünf Jahre den Anlauf seegehender Schiffe im Sinne des § 3 Satz 1 Nummer 1 zu melden. Der Anlauf seegehender Schiffe ist für jedes der fünf Jahre gesondert zu erfassen. Die Meldung ist jeweils bis zum 30. Juni des Folgejahres an die zuständige Hafenbehörde zu übermitteln. Eine Neubewertung, welche Häfen vom Anwendungsbereich der Hafenentsorgungsrichtlinie erfasst werden, erfolgt dann im Vorfeld zur Aufstellung der Abfallbewirtschaftungspläne alle fünf Jahre. Weitergehende Verpflichtungen, die sich aus dem Schiffssicherheitsgesetz vom 9. September 1998 (BGBl. I S. 2860) in der jeweils geltenden Fassung ergeben, bleiben unberührt.</w:t>
      </w:r>
    </w:p>
    <w:p>
      <w:r>
        <w:t xml:space="preserve">(2) Die oberste Hafenbehörde regelt durch Verordnung die Festlegung der Häfen oder bestimmter Bereiche von Häfen, die diesem Gesetz unterliegen.</w:t>
      </w:r>
    </w:p>
    <w:p>
      <w:r>
        <w:t xml:space="preserve">(3) Für die Entsorgung von Abfällen von Schiffen, die nicht in den Geltungsbereich der Hafenentsorgungsrichtlinie fallen, gelten die Vorschriften des Kreislaufwirtschaftsgesetzes vom 24. Februar 2012 (BGBl. I S. 212) in der jeweils geltenden Fassung. Diesen Schiffen ist freigestellt, die Hafenauffangeinrichtungen auf eigene Kosten zu benutzen.</w:t>
      </w:r>
    </w:p>
    <w:p>
      <w:r>
        <w:rPr>
          <w:color w:val="555555"/>
          <w:sz w:val="17"/>
        </w:rPr>
        <w:t xml:space="preserve">Zitiervorschlag: § 2 LSchAbfG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https://recht.nulegal.eu/gesetze/LSchAbfG/2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