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LSchAbfG (Nordrhein-Westfalen) — Inkrafttreten</w:t>
      </w:r>
    </w:p>
    <w:p>
      <w:r>
        <w:rPr>
          <w:color w:val="555555"/>
          <w:sz w:val="18"/>
        </w:rPr>
        <w:t xml:space="preserve">Landesschiffsabfallgesetz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seiner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Stellvertreter</w:t>
      </w:r>
    </w:p>
    <w:p>
      <w:r>
        <w:t xml:space="preserve">des Ministerpräsidenten</w:t>
      </w:r>
    </w:p>
    <w:p>
      <w:r>
        <w:t xml:space="preserve">Der Innenminister</w:t>
      </w:r>
    </w:p>
    <w:p>
      <w:r>
        <w:t xml:space="preserve">zugleich für</w:t>
      </w:r>
    </w:p>
    <w:p>
      <w:r>
        <w:t xml:space="preserve">den Finanzminister</w:t>
      </w:r>
    </w:p>
    <w:p>
      <w:r>
        <w:t xml:space="preserve">Die Ministerin</w:t>
      </w:r>
    </w:p>
    <w:p>
      <w:r>
        <w:t xml:space="preserve">für Umwelt und Naturschutz,</w:t>
      </w:r>
    </w:p>
    <w:p>
      <w:r>
        <w:t xml:space="preserve">Landwirtschaft und Verbraucherschutz</w:t>
      </w:r>
    </w:p>
    <w:p>
      <w:r>
        <w:t xml:space="preserve">Der Minister</w:t>
      </w:r>
    </w:p>
    <w:p>
      <w:r>
        <w:t xml:space="preserve">für Verkehr, Energie und Landesplanung</w:t>
      </w:r>
    </w:p>
    <w:p>
      <w:r>
        <w:rPr>
          <w:color w:val="555555"/>
          <w:sz w:val="17"/>
        </w:rPr>
        <w:t xml:space="preserve">Zitiervorschlag: § 17 LSchAbfG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https://recht.nulegal.eu/gesetze/LSchAbfG/17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