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LSchAbfG (Nordrhein-Westfalen) — Zuständigkeit</w:t>
      </w:r>
    </w:p>
    <w:p>
      <w:r>
        <w:rPr>
          <w:color w:val="555555"/>
          <w:sz w:val="18"/>
        </w:rPr>
        <w:t xml:space="preserve">Landesschiffsabfallgesetz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Sinne dieses Abschnitts ist oberste Hafenbehörde das für Verkehr zuständige Ministerium, obere Hafenbehörde die Bezirksregierung Düsseldorf und Hafenbehörde die durch § 4 Absatz 1 Satz 1 der Allgemeinen Hafenverordnung bestimmte Behörde. Abfallwirtschaftsbehörden sind die durch § 18 des Landeskreislaufwirtschaftsgesetzes bestimmten Behörden.</w:t>
      </w:r>
    </w:p>
    <w:p>
      <w:r>
        <w:rPr>
          <w:color w:val="555555"/>
          <w:sz w:val="17"/>
        </w:rPr>
        <w:t xml:space="preserve">Zitiervorschlag: § 11 LSchAbfG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https://recht.nulegal.eu/gesetze/LSchAbfG/11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