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LSV 2026 — Datenübermittlung</w:t>
      </w:r>
    </w:p>
    <w:p>
      <w:r>
        <w:rPr>
          <w:color w:val="555555"/>
          <w:sz w:val="18"/>
        </w:rPr>
        <w:t xml:space="preserve">Ladesäulenverordnung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Die Regulierungsbehörde hat monatlich die Daten aus der Anzeige nach § 4 Absatz 1 Satz 1, auch in Verbindung mit Absatz 3, elektronisch an die nach Landesrecht für die Wahrnehmung der Aufgaben nach dem Mess- und Eichgesetz oder nach den aufgrund des Mess- und Eichgesetzes erlassenen Rechtsverordnungen zuständigen Behörden zu übermitteln, sofern die empfangsberechtigte Stelle nicht auf die regelmäßige Datenübermittlung verzichtet hat.</w:t>
      </w:r>
    </w:p>
    <w:p>
      <w:r>
        <w:rPr>
          <w:color w:val="555555"/>
          <w:sz w:val="17"/>
        </w:rPr>
        <w:t xml:space="preserve">Zitiervorschlag: § 6 LSV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https://recht.nulegal.eu/gesetze/LSV%202026/6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