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LSV 2026 — Kompetenzen der Regulierungsbehörde</w:t>
      </w:r>
    </w:p>
    <w:p>
      <w:r>
        <w:rPr>
          <w:color w:val="555555"/>
          <w:sz w:val="18"/>
        </w:rPr>
        <w:t xml:space="preserve">Ladesäulenverordnung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 Regulierungsbehörde kann die Einhaltung der technischen Anforderungen nach § 3 und der Anforderungen nach Artikel 5 Absatz 1, 2, 7, 8 und 10 und Anhang II der Verordnung (EU) 2023/1804 regelmäßig überprüfen und geeignete Nachweise verlangen.</w:t>
      </w:r>
    </w:p>
    <w:p>
      <w:r>
        <w:t xml:space="preserve">(2) Die Regulierungsbehörde kann verlangen, dass ein Ladepunkt nachgerüstet wird, um eine technische Anforderung nach § 3 oder eine Anforderung nach Artikel 5 Absatz 1, 2, 7, 8 oder 10 oder Anhang II der Verordnung (EU) 2023/1804 zu erfüllen.</w:t>
      </w:r>
    </w:p>
    <w:p>
      <w:r>
        <w:t xml:space="preserve">(3) Die Regulierungsbehörde kann den Betrieb eines Ladepunkts untersagen, wenn eine technische Anforderung nach § 3 oder eine Anforderung nach Artikel 5 Absatz 1, 2, 7, 8 oder 10 oder Anhang II der Verordnung (EU) 2023/1804 nicht eingehalten oder nicht nach § 4 Absatz 2 nachgewiesen wird oder der Anzeigepflicht nach § 4 Absatz 1 nicht nachgekommen worden ist.</w:t>
      </w:r>
    </w:p>
    <w:p>
      <w:r>
        <w:rPr>
          <w:color w:val="555555"/>
          <w:sz w:val="17"/>
        </w:rPr>
        <w:t xml:space="preserve">Zitiervorschlag: § 5 LSV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https://recht.nulegal.eu/gesetze/LSV%202026/5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