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LSV 2026 — Anzeige- und Nachweispflichten</w:t>
      </w:r>
    </w:p>
    <w:p>
      <w:r>
        <w:rPr>
          <w:color w:val="555555"/>
          <w:sz w:val="18"/>
        </w:rPr>
        <w:t xml:space="preserve">Ladesäulenverordnung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Jeder Betreiber hat der Regulierungsbehörde die Inbetriebnahme und die Außerbetriebnahme eines Ladepunktes sowie den Betreiberwechsel elektronisch anzuzeigen. Bei einem Betreiberwechsel haben Anzeigen nach Satz 1 durch den bisherigen und den neuen Betreiber zu erfolgen. Die Regulierungsbehörde kann Vorgaben zu Art und Weise sowie zum Umfang der Anzeige machen. Die Anzeige hat zu erfolgen:</w:t>
      </w:r>
    </w:p>
    <w:p>
      <w:pPr>
        <w:ind w:left="420"/>
      </w:pPr>
      <w:r>
        <w:t xml:space="preserve">1. spätestens zwei Wochen nach der Inbetriebnahme eines Ladepunktes,</w:t>
      </w:r>
    </w:p>
    <w:p>
      <w:pPr>
        <w:ind w:left="420"/>
      </w:pPr>
      <w:r>
        <w:t xml:space="preserve">2. unverzüglich nach der Außerbetriebnahme eines Ladepunktes,</w:t>
      </w:r>
    </w:p>
    <w:p>
      <w:pPr>
        <w:ind w:left="420"/>
      </w:pPr>
      <w:r>
        <w:t xml:space="preserve">3. unverzüglich nach einem Betreiberwechsel.</w:t>
      </w:r>
    </w:p>
    <w:p>
      <w:r>
        <w:t xml:space="preserve">(2) Jeder Betreiber hat auf Anforderung der Regulierungsbehörde durch Übermittlung geeigneter Unterlagen die Einhaltung der technischen Anforderungen nach § 3 nach erfolgter Inbetriebnahme nachzuweisen.</w:t>
      </w:r>
    </w:p>
    <w:p>
      <w:r>
        <w:t xml:space="preserve">(3) Absatz 1 ist entsprechend anzuwenden, wenn ein bestehender Ladepunkt öffentlich zugänglich wird.</w:t>
      </w:r>
    </w:p>
    <w:p>
      <w:r>
        <w:rPr>
          <w:color w:val="555555"/>
          <w:sz w:val="17"/>
        </w:rPr>
        <w:t xml:space="preserve">Zitiervorschlag: § 4 LSV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https://recht.nulegal.eu/gesetze/LSV%202026/4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