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LSV 2026 — Anwendungsbereich</w:t>
      </w:r>
    </w:p>
    <w:p>
      <w:r>
        <w:rPr>
          <w:color w:val="555555"/>
          <w:sz w:val="18"/>
        </w:rPr>
        <w:t xml:space="preserve">Ladesäulenverordnung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Diese Verordnung regelt die Sicherstellung der technischen Mindestanforderungen an den sicheren und interoperablen Aufbau und Betrieb von öffentlich zugänglichen Ladepunkten für elektrisch betriebene Fahrzeuge der Klassen N und M im Sinne des Artikels 4 Absatz 1 Buchstabe a und b der Verordnung (EU) 2018/858.</w:t>
      </w:r>
    </w:p>
    <w:p>
      <w:r>
        <w:t xml:space="preserve">(2) Diese Verordnung dient auch der Durchführung der Verordnung (EU) 2023/1804 in der jeweils geltenden Fassung sowie der Rechtsakte der Europäischen Union, die zur Durchführung der Verordnung (EU) 2023/1804 ergangen sind.</w:t>
      </w:r>
    </w:p>
    <w:p>
      <w:r>
        <w:rPr>
          <w:color w:val="555555"/>
          <w:sz w:val="17"/>
        </w:rPr>
        <w:t xml:space="preserve">Zitiervorschlag: § 1 LSV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https://recht.nulegal.eu/gesetze/LSV%202026/1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