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LSDV (Brandenburg) — Ausbildungsziel und Ablauf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Anpassungslehrgang dient dem Erwerb der erforderlichen rettungsdienstlichen Qualifikation für die Tätigkeit als Leitstellendisponentin oder Leitstellendisponent.</w:t>
      </w:r>
    </w:p>
    <w:p>
      <w:r>
        <w:t xml:space="preserve">(2) Der Lehrgang gliedert sich in die Abschnitte:</w:t>
      </w:r>
    </w:p>
    <w:p>
      <w:r>
        <w:t xml:space="preserve">schulische Ausbildung und</w:t>
      </w:r>
    </w:p>
    <w:p>
      <w:r>
        <w:t xml:space="preserve">praktische Ausbildung.</w:t>
      </w:r>
    </w:p>
    <w:p>
      <w:r>
        <w:t xml:space="preserve">Der Lehrgang schließt mit einer Prüfung ab.</w:t>
      </w:r>
    </w:p>
    <w:p>
      <w:r>
        <w:t xml:space="preserve">(3) Die schulische Ausbildung sowie die Prüfung sind an einer staatlich anerkannten Schule für Notfallsanitäterinnen und Notfallsanitäter durchzuführen.</w:t>
      </w:r>
    </w:p>
    <w:p>
      <w:r>
        <w:t xml:space="preserve">(4) Die praktische Ausbildung findet im Bereich Notaufnahme, Anästhesie/Intensivmedizin, Amtsarzt, RegioMed Bereitschaftspraxis und in einer anerkannten Lehrrettungswache statt.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