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LSDV (Brandenburg) — Zulassung zur Prüfung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oder der Vorsitzende des Prüfungsausschusses entscheidet auf Antrag des Prüflings über die Zulassung zur Prüfung und setzt die Prüfungstermine fest.</w:t>
      </w:r>
    </w:p>
    <w:p>
      <w:r>
        <w:t xml:space="preserve">(2) Zur Prüfung wird zugelassen, wer</w:t>
      </w:r>
    </w:p>
    <w:p>
      <w:r>
        <w:t xml:space="preserve">Notfallsanitäterin, Notfallsanitäter, Rettungsassistentin oder Rettungsassistent ist oder</w:t>
      </w:r>
    </w:p>
    <w:p>
      <w:r>
        <w:t xml:space="preserve">an einem Anpassungslehrgang zum Erwerb der rettungsdienstlichen Qualifikation erfolgreich teilgenommen hat, und</w:t>
      </w:r>
    </w:p>
    <w:p>
      <w:r>
        <w:t xml:space="preserve">als Beamtin oder Beamter oder vergleichbare Beschäftigte oder vergleichbarer Beschäftigter zum mittleren feuerwehrtechnischen Dienst befähigt ist, oder</w:t>
      </w:r>
    </w:p>
    <w:p>
      <w:r>
        <w:t xml:space="preserve">an erforderlichen Anpassungslehrgängen zum Erwerb der feuerwehrtechnischen Grundqualifikation erfolgreich teilgenommen hat und</w:t>
      </w:r>
    </w:p>
    <w:p>
      <w:r>
        <w:t xml:space="preserve">die Ausbildung zur Gruppenführerin oder zum Gruppenführer (Führungslehrgang mittlerer feuerwehrtechnischer Dienst) erfolgreich abgeschlossen hat oder</w:t>
      </w:r>
    </w:p>
    <w:p>
      <w:r>
        <w:t xml:space="preserve">am erforderlichen Anpassungslehrgang zum Erwerb der feuerwehrtechnischen Führungsqualifikation erfolgreich teilgenommen hat und</w:t>
      </w:r>
    </w:p>
    <w:p>
      <w:r>
        <w:t xml:space="preserve">einen Identitätsnachweis vorlegt.</w:t>
      </w:r>
    </w:p>
    <w:p>
      <w:r>
        <w:t xml:space="preserve">(3) Die Zulassung zur Prüfung wird erteilt, wenn die nach Absatz 2 geforderten Ausbildungen oder Anpassungslehrgänge nachgewiesen werden und darüber hinaus Bescheinigungen über die erfolgreiche und regelmäßige Teilnahme an der schulischen und praktischen Ausbildung nach Anlage 4 vorliegen.</w:t>
      </w:r>
    </w:p>
    <w:p>
      <w:r>
        <w:t xml:space="preserve">(4) Die Zulassung zur Prüfung sowie die Prüfungstermine sollen dem Prüfling spätestens zwei Wochen vor Prüfungsbeginn schriftlich oder elektronisch mitgeteilt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