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LSDV (Brandenburg) — Mündlicher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hat der Prüfling seine berufliche Handlungskompetenz, die sich in den Dimensionen Fach-, Sozial- und Selbstkompetenz entfaltet, nachzuweisen.</w:t>
      </w:r>
    </w:p>
    <w:p>
      <w:r>
        <w:t xml:space="preserve">(2) Der mündliche Teil der Prüfung erstreckt sich auf alle vermittelten Themenbereiche der Anlage 2 beziehungsweise Anlage 3.</w:t>
      </w:r>
    </w:p>
    <w:p>
      <w:r>
        <w:t xml:space="preserve">(3) Die Prüflinge werden einzeln oder zu zweit geprüft. Die Prüfung soll für jeden Prüfling mindestens 30 und nicht länger als 45 Minuten dauern.</w:t>
      </w:r>
    </w:p>
    <w:p>
      <w:r>
        <w:t xml:space="preserve">(4) Die Prüfung zu jedem Themenbereich wird von mindestens zwei Fachprüferinnen oder Fachprüfern abgenommen und benotet. Die oder der Vorsitzende des Prüfungsausschusses ist berechtigt, sich an der mündlichen Prüfung zu beteiligen und dabei selbst Prüfungsfragen zu stellen. Aus den Noten der Fachprüferinnen oder Fachprüfer bildet die oder der Vorsitzende des Prüfungsausschusses im Benehmen mit den Fachprüferinnen oder Fachprüfern die Note für den jeweiligen Themenbereich. Die oder der Vorsitzende des Prüfungsausschusses bildet die Note für den mündlichen Teil der Prüfung aus dem arithmetischen Mittel der für jeden Themenbereich erteilten Einzelnote. Der mündliche Teil der Prüfung ist bestanden, wenn jeder Themenbereich mindestens mit „ausreichend“ benotet wird.</w:t>
      </w:r>
    </w:p>
    <w:p>
      <w:r>
        <w:t xml:space="preserve">Einzelnorm</w:t>
      </w:r>
    </w:p>
    <w:p>
      <w:r>
        <w:rPr>
          <w:color w:val="555555"/>
          <w:sz w:val="17"/>
        </w:rPr>
        <w:t xml:space="preserve">Zitiervorschlag: § 23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