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LSDV (Brandenburg) — Ausbildungsziel und Ablauf</w:t>
      </w:r>
    </w:p>
    <w:p>
      <w:r>
        <w:rPr>
          <w:color w:val="555555"/>
          <w:sz w:val="18"/>
        </w:rPr>
        <w:t xml:space="preserve">Leitstellendisponentenverordnung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Anpassungslehrgänge dienen dem Erwerb der für die Tätigkeit als Leitstellendisponentin oder Leitstellendisponent erforderlichen feuerwehrtechnischen Grund- oder Führungsqualifikation. Die Anpassungslehrgänge schließen jeweils mit einer Prüfung ab.</w:t>
      </w:r>
    </w:p>
    <w:p>
      <w:r>
        <w:t xml:space="preserve">(2) Die Ausbildung erfolgt entsprechend der Ausbildungsrahmenpläne nach Anlage 2 oder Anlage 3.</w:t>
      </w:r>
    </w:p>
    <w:p>
      <w:r>
        <w:t xml:space="preserve">(3) Die Anpassungslehrgänge für die feuerwehrtechnische Grundqualifikation werden an der Landesschule und Technischen Einrichtung für Brand- und Katastrophenschutz oder an einer Berufsfeuerwehr durchgeführt.</w:t>
      </w:r>
    </w:p>
    <w:p>
      <w:r>
        <w:t xml:space="preserve">(4) Die Anpassungslehrgänge für die feuerwehrtechnische Führungsqualifikation werden an der Landesschule und Technischen Einrichtung für Brand- und Katastrophenschutz durchgeführt.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18 LSDV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https://recht.nulegal.eu/gesetze/LSDV/18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