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LRiStaG (Nordrhein-Westfalen)</w:t>
      </w:r>
    </w:p>
    <w:p>
      <w:r>
        <w:rPr>
          <w:color w:val="555555"/>
          <w:sz w:val="18"/>
        </w:rPr>
        <w:t xml:space="preserve">Landesrichter- und Staatsanwältegesetz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Landesregierung Nordrhein-Westfalen</w:t>
      </w:r>
    </w:p>
    <w:p>
      <w:r>
        <w:t xml:space="preserve">Die Ministerpräsidentin</w:t>
      </w:r>
    </w:p>
    <w:p>
      <w:r>
        <w:t xml:space="preserve">Der Finanzminister</w:t>
      </w:r>
    </w:p>
    <w:p>
      <w:r>
        <w:t xml:space="preserve">Der Minister für Inneres und Kommunales</w:t>
      </w:r>
    </w:p>
    <w:p>
      <w:r>
        <w:t xml:space="preserve">Der Justizminister</w:t>
      </w:r>
    </w:p>
    <w:p>
      <w:r>
        <w:t xml:space="preserve">Hinweis:</w:t>
      </w:r>
    </w:p>
    <w:p>
      <w:r>
        <w:t xml:space="preserve">Artikel 11 Absatz 2 des Gesetzes vom 8. Dezember 2015 (GV. NRW. S. 812):</w:t>
      </w:r>
    </w:p>
    <w:p>
      <w:r>
        <w:t xml:space="preserve">(2) In Artikel 1 treten die §§ 46 bis 50 am 1. Juli 2016 und die §§ 66 bis 99 am 1. Januar 2017 in Kraft.</w:t>
      </w:r>
    </w:p>
    <w:p>
      <w:r>
        <w:rPr>
          <w:color w:val="555555"/>
          <w:sz w:val="17"/>
        </w:rPr>
        <w:t xml:space="preserve">Zitiervorschlag: Schlussformel LRiStaG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https://recht.nulegal.eu/gesetze/LRiStaG/schlussformel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