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LRiStaG (Nordrhein-Westfalen) — Disziplinarklage und Revision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Disziplinarverfahren gegen Staatsanwältinnen und Staatsanwälte gelten § 80 Absatz 3 und § 83 entsprechend.</w:t>
      </w:r>
    </w:p>
    <w:p>
      <w:r>
        <w:t xml:space="preserve">Teil 4</w:t>
      </w:r>
    </w:p>
    <w:p>
      <w:r>
        <w:t xml:space="preserve">Übergangs- und Schlussvorschriften</w:t>
      </w:r>
    </w:p>
    <w:p>
      <w:r>
        <w:rPr>
          <w:color w:val="555555"/>
          <w:sz w:val="17"/>
        </w:rPr>
        <w:t xml:space="preserve">Zitiervorschlag: § 99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https://recht.nulegal.eu/gesetze/LRiStaG/99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