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LRiStaG (Nordrhein-Westfalen) — Teilzeitbeschäftigung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Richterinnen und Richtern ist auf Antrag Teilzeitbeschäftigung bis zur Hälfte des regelmäßigen Dienstes und bis zur jeweils beantragten Dauer zu bewilligen.</w:t>
      </w:r>
    </w:p>
    <w:p>
      <w:r>
        <w:t xml:space="preserve">(2) Einem Antrag nach Absatz 1 darf nur entsprochen werden, wenn</w:t>
      </w:r>
    </w:p>
    <w:p>
      <w:r>
        <w:t xml:space="preserve">1. das Aufgabengebiet des richterlichen Amtes Teilzeitbeschäftigung zulässt,</w:t>
      </w:r>
    </w:p>
    <w:p>
      <w:r>
        <w:t xml:space="preserve">2. zwingende dienstliche Gründe nicht entgegenstehen,</w:t>
      </w:r>
    </w:p>
    <w:p>
      <w:r>
        <w:t xml:space="preserve">3. die Richterin oder der Richter zugleich zustimmt, mit Beginn oder bei Änderung der Teilzeitbeschäftigung und beim Übergang zur Vollzeitbeschäftigung auch in einem anderen Richteramt desselben Gerichtszweiges verwendet zu werden, und</w:t>
      </w:r>
    </w:p>
    <w:p>
      <w:r>
        <w:t xml:space="preserve">4. die Richterin oder der Richter sich verpflichtet, während der Dauer des Bewilligungszeitraumes außerhalb des Richterverhältnisses berufliche Verpflichtungen nur in dem Umfang einzugehen, in dem nach § 2 Absatz 2 in Verbindung mit den §§ 48 bis 58 des Landesbeamtengesetzes und § 41 des Beamtenstatusgesetzes vom 17. Juni 2008 (BGBl. I S. 1010) in der jeweils geltenden Fassung Richterinnen und Richtern die Ausübung von Nebentätigkeiten gestattet ist.</w:t>
      </w:r>
    </w:p>
    <w:p>
      <w:r>
        <w:t xml:space="preserve">Ausnahmen von der Verpflichtung nach Satz 1 Nummer 4 sind nur zulässig, soweit dies mit dem Richterverhältnis vereinbar ist. § 2 Absatz 2 in Verbindung mit § 49 Absatz 2 Satz 3 des Landesbeamtengesetzes gilt mit der Maßgabe, dass vom regelmäßigen Dienst ohne Rücksicht auf die Bewilligung von Teilzeitbeschäftigung auszugehen ist. Wird die Verpflichtung nach Satz 1 Nummer 4 schuldhaft verletzt, ist die Bewilligung zu widerrufen.</w:t>
      </w:r>
    </w:p>
    <w:p>
      <w:r>
        <w:t xml:space="preserve">(3) § 7 Absatz 4 Satz 1 und 2 gilt entsprechend.</w:t>
      </w:r>
    </w:p>
    <w:p>
      <w:r>
        <w:rPr>
          <w:color w:val="555555"/>
          <w:sz w:val="17"/>
        </w:rPr>
        <w:t xml:space="preserve">Zitiervorschlag: § 9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