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LRiStaG (Nordrhein-Westfalen) — Anwendung der Verwaltungsgerichtsordnung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Verfahren nach § 67 Nummer 2 (Versetzungsverfahren), Nummer 3 und 4 (Prüfungsverfahren) gelten die Vorschriften der Verwaltungsgerichtsordnung in der Fassung der Bekanntmachung vom 19. März 1991 (BGBl. I S. 686) in der jeweils geltenden Fassung und des Justizgesetzes Nordrhein-Westfalen vom 26. Januar 2010 (GV. NRW. S. 30) in der jeweils geltenden Fassung entsprechend, soweit dieses Gesetz nichts anderes bestimmt. Die Vorschriften über den Gerichtsbescheid sind nicht anzuwenden.</w:t>
      </w:r>
    </w:p>
    <w:p>
      <w:r>
        <w:t xml:space="preserve">Abschnitt 2</w:t>
      </w:r>
    </w:p>
    <w:p>
      <w:r>
        <w:t xml:space="preserve">Versetzungsverfahren</w:t>
      </w:r>
    </w:p>
    <w:p>
      <w:r>
        <w:rPr>
          <w:color w:val="555555"/>
          <w:sz w:val="17"/>
        </w:rPr>
        <w:t xml:space="preserve">Zitiervorschlag: § 86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