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84 LRiStaG (Nordrhein-Westfalen) — Bekleidung mehrerer Ämter</w:t>
      </w:r>
    </w:p>
    <w:p>
      <w:r>
        <w:rPr>
          <w:color w:val="555555"/>
          <w:sz w:val="18"/>
        </w:rPr>
        <w:t xml:space="preserve">Landesrichter- und Staatsanwältegesetz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Ist eine Richterin oder ein Richter zugleich Beamtin oder Beamter, so sind die Vorschriften über das Disziplinarverfahren gegen Richterinnen und Richter anzuwenden.</w:t>
      </w:r>
    </w:p>
    <w:p>
      <w:r>
        <w:rPr>
          <w:color w:val="555555"/>
          <w:sz w:val="17"/>
        </w:rPr>
        <w:t xml:space="preserve">Zitiervorschlag: § 84 LRiStaG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https://recht.nulegal.eu/gesetze/LRiStaG/84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