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LRiStaG (Nordrhein-Westfalen) — Beurlaubung aus Arbeitsmarktgründen</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Richterinnen und Richtern ist in der Arbeitsmarktsituation, in der ein außergewöhnlicher Bewerberüberhang besteht und deshalb ein dringendes öffentliches Interesse daran gegeben ist, verstärkt Bewerberinnen und Bewerber im öffentlichen Dienst zu beschäftigen,</w:t>
      </w:r>
    </w:p>
    <w:p>
      <w:r>
        <w:t xml:space="preserve">1. auf Antrag Urlaub ohne Dienstbezüge bis zur Dauer von insgesamt sechs Jahren, mindestens von einem Jahr, oder</w:t>
      </w:r>
    </w:p>
    <w:p>
      <w:r>
        <w:t xml:space="preserve">2. nach Vollendung des fünfundfünfzigsten Lebensjahres auf Antrag, der sich auf die Dauer bis zum Beginn des Ruhestandes erstrecken muss, Urlaub ohne Dienstbezüge</w:t>
      </w:r>
    </w:p>
    <w:p>
      <w:r>
        <w:t xml:space="preserve">zu bewilligen.</w:t>
      </w:r>
    </w:p>
    <w:p>
      <w:r>
        <w:t xml:space="preserve">(2) Einem Antrag nach Absatz 1 darf nur entsprochen werden, wenn</w:t>
      </w:r>
    </w:p>
    <w:p>
      <w:r>
        <w:t xml:space="preserve">1. zwingende dienstliche Gründe nicht entgegenstehen,</w:t>
      </w:r>
    </w:p>
    <w:p>
      <w:r>
        <w:t xml:space="preserve">2. die Richterin oder der Richter zugleich zustimmt, nach Rückkehr aus dem Urlaub auch in einem anderen Richteramt verwendet zu werden, und</w:t>
      </w:r>
    </w:p>
    <w:p>
      <w:r>
        <w:t xml:space="preserve">3. die Richterin oder der Richter erklärt, während der Dauer des Bewilligungszeitraumes auf die Ausübung entgeltlicher Nebentätigkeiten zu verzichten und entgeltliche Tätigkeiten nach § 2 Absatz 2 dieses Gesetzes in Verbindung mit § 51 des Landesbeamtengesetzes nur in dem Umfang auszuüben, wie er sie bei Vollzeitbeschäftigung ohne Verletzung dienstlicher Pflichten ausüben könnte.</w:t>
      </w:r>
    </w:p>
    <w:p>
      <w:r>
        <w:t xml:space="preserve">Wird die Verpflichtung nach Satz 1 Nummer 3 schuldhaft verletzt, ist die Bewilligung zu widerrufen. Trotz der Erklärung der Richterin oder des Richters nach Satz 1 Nummer 3 dürfen Nebentätigkeiten genehmigt werden, soweit sie dem Zweck der Bewilligung des Urlaubs nicht zuwiderlaufen. § 7 Absatz 4 Satz 3 gilt entsprechend.</w:t>
      </w:r>
    </w:p>
    <w:p>
      <w:r>
        <w:t xml:space="preserve">(3) Die Dauer des Urlaubs im Sinne des Absatzes 1 darf auch in Verbindung mit Urlaub nach § 7 Absatz 1 15 Jahre nicht überschreiten. Im Falle des Absatzes 1 Nummer 2 findet Satz 1 keine Anwendung, wenn es der Richterin oder dem Richter nicht mehr zuzumuten ist, zu einer Voll- oder Teilzeitbeschäftigung zurückzukehren.</w:t>
      </w:r>
    </w:p>
    <w:p>
      <w:r>
        <w:rPr>
          <w:color w:val="555555"/>
          <w:sz w:val="17"/>
        </w:rPr>
        <w:t xml:space="preserve">Zitiervorschlag: § 8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