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LRiStaG (Nordrhein-Westfalen) — Geltung des Landesdisziplinargesetzes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dieses Gesetz nichts anderes bestimmt, gelten in Disziplinarsachen die Vorschriften des Landesdisziplinargesetzes entsprechend.</w:t>
      </w:r>
    </w:p>
    <w:p>
      <w:r>
        <w:t xml:space="preserve">(2) Bei einem Dienstvergehen, das eine schwerere Disziplinarmaßnahme als einen Verweis rechtfertigt, ist § 15 des Landesdisziplinargesetzes nicht anzuwenden.</w:t>
      </w:r>
    </w:p>
    <w:p>
      <w:r>
        <w:rPr>
          <w:color w:val="555555"/>
          <w:sz w:val="17"/>
        </w:rPr>
        <w:t xml:space="preserve">Zitiervorschlag: § 77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