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LRiStaG (Nordrhein-Westfalen) — Geschäftsverteilung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Innerhalb des Dienstgerichts (Kammer) werden die Geschäfte durch Beschluss aller der Kammer ständig angehörenden Richterinnen und Richter auf die Mitglieder verteilt. Bei Stimmengleichheit entscheidet das Präsidium.</w:t>
      </w:r>
    </w:p>
    <w:p>
      <w:r>
        <w:t xml:space="preserve">(2) Der Beschluss bestimmt vor Beginn des Geschäftsjahres für dessen Dauer, nach welchen Grundsätzen die Mitglieder an den Verfahren mitwirken. Er kann nur geändert werden, wenn es wegen Überlastung, ungenügender Auslastung, Wechsels oder dauernder Verhinderung einzelner Mitglieder der Kammer nötig wird.</w:t>
      </w:r>
    </w:p>
    <w:p>
      <w:r>
        <w:t xml:space="preserve">Abschnitt 3</w:t>
      </w:r>
    </w:p>
    <w:p>
      <w:r>
        <w:t xml:space="preserve">Dienstgerichtshof für Richter</w:t>
      </w:r>
    </w:p>
    <w:p>
      <w:r>
        <w:rPr>
          <w:color w:val="555555"/>
          <w:sz w:val="17"/>
        </w:rPr>
        <w:t xml:space="preserve">Zitiervorschlag: § 75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