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LRiStaG (Nordrhein-Westfalen) — Aufgaben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Präsidialrat hat mitzubestimmen bei</w:t>
      </w:r>
    </w:p>
    <w:p>
      <w:r>
        <w:t xml:space="preserve">1. der Übertragung eines Richteramtes mit höherem Endgrundgehalt als dem eines Eingangsamts und</w:t>
      </w:r>
    </w:p>
    <w:p>
      <w:r>
        <w:t xml:space="preserve">2. der Versetzung einer Richterin oder eines Richters in einem Amt mit höherem Endgrundgehalt als dem eines Eingangsamts.</w:t>
      </w:r>
    </w:p>
    <w:p>
      <w:r>
        <w:t xml:space="preserve">(2) Der Präsidialrat gibt innerhalb der Frist des § 23 Absatz 2 eine schriftlich oder elektronisch begründete Stellungnahme über die persönliche und fachliche Eignung der Bewerberin oder des Bewerbers ab,</w:t>
      </w:r>
    </w:p>
    <w:p>
      <w:r>
        <w:t xml:space="preserve">1. der oder dem das Justizministerium im Sinne des Absatzes 1 Nummer 1 ein Richteramt mit höherem Endgrundgehalt als dem eines Eingangsamts übertragen oder die oder den es zur Übertragung eines solchen Amtes vorschlagen will oder</w:t>
      </w:r>
    </w:p>
    <w:p>
      <w:r>
        <w:t xml:space="preserve">2. die oder den das Justizministerium im Sinne des Absatzes 1 Nummer 2 versetzen oder zur Versetzung vorschlagen will.</w:t>
      </w:r>
    </w:p>
    <w:p>
      <w:r>
        <w:t xml:space="preserve">Er kann auch zu anderen Bewerberinnen und Bewerbern Stellung nehmen und im Rahmen der Bewerbungen Gegenvorschläge machen.</w:t>
      </w:r>
    </w:p>
    <w:p>
      <w:r>
        <w:t xml:space="preserve">Teil 3</w:t>
      </w:r>
    </w:p>
    <w:p>
      <w:r>
        <w:t xml:space="preserve">Richterdienstgerichte</w:t>
      </w:r>
    </w:p>
    <w:p>
      <w:r>
        <w:t xml:space="preserve">Kapitel 1</w:t>
      </w:r>
    </w:p>
    <w:p>
      <w:r>
        <w:t xml:space="preserve">Errichtung und Zuständigkeit</w:t>
      </w:r>
    </w:p>
    <w:p>
      <w:r>
        <w:t xml:space="preserve">Abschnitt 1</w:t>
      </w:r>
    </w:p>
    <w:p>
      <w:r>
        <w:t xml:space="preserve">Allgemeine Vorschriften</w:t>
      </w:r>
    </w:p>
    <w:p>
      <w:r>
        <w:rPr>
          <w:color w:val="555555"/>
          <w:sz w:val="17"/>
        </w:rPr>
        <w:t xml:space="preserve">Zitiervorschlag: § 65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https://recht.nulegal.eu/gesetze/LRiStaG/65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