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LRiStaG (Nordrhein-Westfalen) — Anzuwendende Wahlvorschriften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Vorschriften über die Wahl der Richterräte gelten im Übrigen mit der Maßgabe entsprechend, dass für die Wahl der vorsitzenden Person und der weiteren Mitglieder getrennte Wahlvorschläge einzureichen sind.</w:t>
      </w:r>
    </w:p>
    <w:p>
      <w:r>
        <w:t xml:space="preserve">(2) Die Wahl zum Präsidialrat erfolgt gleichzeitig mit den Richterratswahlen. Die für die Richterratswahlen zuständigen Wahlvorstände führen auch die Wahl zum Präsidialrat durch.</w:t>
      </w:r>
    </w:p>
    <w:p>
      <w:r>
        <w:rPr>
          <w:color w:val="555555"/>
          <w:sz w:val="17"/>
        </w:rPr>
        <w:t xml:space="preserve">Zitiervorschlag: § 61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https://recht.nulegal.eu/gesetze/LRiStaG/61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